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F6" w:rsidRDefault="006C6F1F" w:rsidP="00FC36F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  <w:lang w:val="it-IT" w:eastAsia="zh-TW" w:bidi="he-IL"/>
        </w:rPr>
        <w:drawing>
          <wp:inline distT="0" distB="0" distL="0" distR="0">
            <wp:extent cx="1089569" cy="1221226"/>
            <wp:effectExtent l="0" t="0" r="0" b="0"/>
            <wp:docPr id="4" name="Picture 4" descr="Docs:Publicity:Active:Press Kits for Web Upload:2016:Farm Progress 2016:Topcon_Press-Kit_Athene ECU:Athene ECU_Topcon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s:Publicity:Active:Press Kits for Web Upload:2016:Farm Progress 2016:Topcon_Press-Kit_Athene ECU:Athene ECU_Topcon cop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429" cy="122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D46" w:rsidRPr="00F95474" w:rsidRDefault="00DD2565" w:rsidP="009125F4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F9547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Topcon </w:t>
      </w:r>
      <w:r w:rsidR="009125F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presenta</w:t>
      </w:r>
      <w:r w:rsidR="00F95474" w:rsidRPr="00F9547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Athene ECU per</w:t>
      </w:r>
      <w:r w:rsidRPr="00F9547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r w:rsidR="006C6F1F" w:rsidRPr="00F9547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br/>
      </w:r>
      <w:r w:rsidR="00F95474" w:rsidRPr="00F9547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applicazione su </w:t>
      </w:r>
      <w:proofErr w:type="spellStart"/>
      <w:r w:rsidR="005E548A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s</w:t>
      </w:r>
      <w:r w:rsidR="00F95474" w:rsidRPr="00F95474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pandiconcimi</w:t>
      </w:r>
      <w:proofErr w:type="spellEnd"/>
    </w:p>
    <w:p w:rsidR="00DD2565" w:rsidRPr="00F95474" w:rsidRDefault="00DD2565" w:rsidP="00DD2565">
      <w:pPr>
        <w:tabs>
          <w:tab w:val="left" w:pos="270"/>
        </w:tabs>
        <w:jc w:val="center"/>
        <w:rPr>
          <w:rFonts w:ascii="Arial" w:hAnsi="Arial"/>
          <w:i/>
          <w:color w:val="000000"/>
          <w:sz w:val="6"/>
          <w:szCs w:val="20"/>
          <w:lang w:val="it-IT"/>
        </w:rPr>
      </w:pPr>
    </w:p>
    <w:p w:rsidR="00DD2565" w:rsidRPr="00F95474" w:rsidRDefault="0067710D" w:rsidP="004C0BF2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>
        <w:rPr>
          <w:rFonts w:ascii="Arial" w:hAnsi="Arial"/>
          <w:i/>
          <w:iCs/>
          <w:color w:val="000000"/>
          <w:sz w:val="20"/>
          <w:szCs w:val="20"/>
          <w:lang w:val="it-IT"/>
        </w:rPr>
        <w:t>Madrid</w:t>
      </w:r>
      <w:r w:rsidR="00994B32" w:rsidRPr="00F95474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, </w:t>
      </w:r>
      <w:r>
        <w:rPr>
          <w:rFonts w:ascii="Arial" w:hAnsi="Arial"/>
          <w:i/>
          <w:iCs/>
          <w:color w:val="000000"/>
          <w:sz w:val="20"/>
          <w:szCs w:val="20"/>
          <w:lang w:val="it-IT"/>
        </w:rPr>
        <w:t>Spagna</w:t>
      </w:r>
      <w:r w:rsidR="00994B32" w:rsidRPr="00F95474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. — </w:t>
      </w:r>
      <w:r w:rsidR="00F95474" w:rsidRPr="00F95474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30 </w:t>
      </w:r>
      <w:r w:rsidR="00994B32" w:rsidRPr="00F95474">
        <w:rPr>
          <w:rFonts w:ascii="Arial" w:hAnsi="Arial"/>
          <w:i/>
          <w:iCs/>
          <w:color w:val="000000"/>
          <w:sz w:val="20"/>
          <w:szCs w:val="20"/>
          <w:lang w:val="it-IT"/>
        </w:rPr>
        <w:t>A</w:t>
      </w:r>
      <w:r w:rsidR="00F95474" w:rsidRPr="00F95474">
        <w:rPr>
          <w:rFonts w:ascii="Arial" w:hAnsi="Arial"/>
          <w:i/>
          <w:iCs/>
          <w:color w:val="000000"/>
          <w:sz w:val="20"/>
          <w:szCs w:val="20"/>
          <w:lang w:val="it-IT"/>
        </w:rPr>
        <w:t>gosto</w:t>
      </w:r>
      <w:r w:rsidR="00994B32" w:rsidRPr="00F95474">
        <w:rPr>
          <w:rFonts w:ascii="Arial" w:hAnsi="Arial"/>
          <w:i/>
          <w:iCs/>
          <w:color w:val="000000"/>
          <w:sz w:val="20"/>
          <w:szCs w:val="20"/>
          <w:lang w:val="it-IT"/>
        </w:rPr>
        <w:t>, 2016 —</w:t>
      </w:r>
      <w:r w:rsidR="00994B32" w:rsidRPr="00F95474">
        <w:rPr>
          <w:rFonts w:ascii="Arial" w:hAnsi="Arial"/>
          <w:i/>
          <w:color w:val="000000"/>
          <w:sz w:val="20"/>
          <w:szCs w:val="20"/>
          <w:lang w:val="it-IT"/>
        </w:rPr>
        <w:t xml:space="preserve"> </w:t>
      </w:r>
      <w:r w:rsidR="00F95474" w:rsidRPr="00F95474">
        <w:rPr>
          <w:rFonts w:ascii="Arial" w:hAnsi="Arial"/>
          <w:color w:val="000000"/>
          <w:sz w:val="20"/>
          <w:szCs w:val="20"/>
          <w:lang w:val="it-IT"/>
        </w:rPr>
        <w:t>Topcon Agriculture ann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unc</w:t>
      </w:r>
      <w:r w:rsidR="00F95474" w:rsidRPr="00F95474">
        <w:rPr>
          <w:rFonts w:ascii="Arial" w:hAnsi="Arial"/>
          <w:color w:val="000000"/>
          <w:sz w:val="20"/>
          <w:szCs w:val="20"/>
          <w:lang w:val="it-IT"/>
        </w:rPr>
        <w:t>ia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F95474" w:rsidRPr="00F95474">
        <w:rPr>
          <w:rFonts w:ascii="Arial" w:hAnsi="Arial"/>
          <w:color w:val="000000"/>
          <w:sz w:val="20"/>
          <w:szCs w:val="20"/>
          <w:lang w:val="it-IT"/>
        </w:rPr>
        <w:t>il rilascio della centralina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Athene</w:t>
      </w:r>
      <w:proofErr w:type="spellEnd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™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 xml:space="preserve">per la </w:t>
      </w:r>
      <w:r w:rsidR="00F95474">
        <w:rPr>
          <w:rFonts w:ascii="Arial" w:hAnsi="Arial"/>
          <w:color w:val="000000"/>
          <w:sz w:val="20"/>
          <w:szCs w:val="20"/>
          <w:lang w:val="it-IT"/>
        </w:rPr>
        <w:t xml:space="preserve">sua linea di unità di controllo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delle a</w:t>
      </w:r>
      <w:r w:rsidR="00F95474">
        <w:rPr>
          <w:rFonts w:ascii="Arial" w:hAnsi="Arial"/>
          <w:color w:val="000000"/>
          <w:sz w:val="20"/>
          <w:szCs w:val="20"/>
          <w:lang w:val="it-IT"/>
        </w:rPr>
        <w:t>pplicazion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i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proofErr w:type="spellStart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Athene</w:t>
      </w:r>
      <w:proofErr w:type="spellEnd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F95474" w:rsidRPr="00F95474">
        <w:rPr>
          <w:rFonts w:ascii="Arial" w:hAnsi="Arial"/>
          <w:color w:val="000000"/>
          <w:sz w:val="20"/>
          <w:szCs w:val="20"/>
          <w:lang w:val="it-IT"/>
        </w:rPr>
        <w:t xml:space="preserve">è una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c</w:t>
      </w:r>
      <w:r w:rsidR="00F95474" w:rsidRPr="00F95474">
        <w:rPr>
          <w:rFonts w:ascii="Arial" w:hAnsi="Arial"/>
          <w:color w:val="000000"/>
          <w:sz w:val="20"/>
          <w:szCs w:val="20"/>
          <w:lang w:val="it-IT"/>
        </w:rPr>
        <w:t xml:space="preserve">entralina 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ISOBUS </w:t>
      </w:r>
      <w:r w:rsidR="00F95474" w:rsidRPr="00F95474">
        <w:rPr>
          <w:rFonts w:ascii="Arial" w:hAnsi="Arial"/>
          <w:color w:val="000000"/>
          <w:sz w:val="20"/>
          <w:szCs w:val="20"/>
          <w:lang w:val="it-IT"/>
        </w:rPr>
        <w:t>con interfaccia utente ISO-UT o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Universal Terminal</w:t>
      </w:r>
      <w:r w:rsidR="00F95474">
        <w:rPr>
          <w:rFonts w:ascii="Arial" w:hAnsi="Arial"/>
          <w:color w:val="000000"/>
          <w:sz w:val="20"/>
          <w:szCs w:val="20"/>
          <w:lang w:val="it-IT"/>
        </w:rPr>
        <w:t xml:space="preserve"> progettata per offrire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u</w:t>
      </w:r>
      <w:r w:rsidR="00F95474">
        <w:rPr>
          <w:rFonts w:ascii="Arial" w:hAnsi="Arial"/>
          <w:color w:val="000000"/>
          <w:sz w:val="20"/>
          <w:szCs w:val="20"/>
          <w:lang w:val="it-IT"/>
        </w:rPr>
        <w:t xml:space="preserve">n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 xml:space="preserve">avanzato </w:t>
      </w:r>
      <w:r w:rsidR="00F95474">
        <w:rPr>
          <w:rFonts w:ascii="Arial" w:hAnsi="Arial"/>
          <w:color w:val="000000"/>
          <w:sz w:val="20"/>
          <w:szCs w:val="20"/>
          <w:lang w:val="it-IT"/>
        </w:rPr>
        <w:t>sistema di controllo per spandiconcime granulari con alimentazione a nastro.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br/>
      </w:r>
    </w:p>
    <w:p w:rsidR="00DD2565" w:rsidRPr="00F95474" w:rsidRDefault="00F95474" w:rsidP="004C0BF2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F95474">
        <w:rPr>
          <w:rFonts w:ascii="Arial" w:hAnsi="Arial"/>
          <w:color w:val="000000"/>
          <w:sz w:val="20"/>
          <w:szCs w:val="20"/>
          <w:lang w:val="it-IT"/>
        </w:rPr>
        <w:t>“Simile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F95474">
        <w:rPr>
          <w:rFonts w:ascii="Arial" w:hAnsi="Arial"/>
          <w:color w:val="000000"/>
          <w:sz w:val="20"/>
          <w:szCs w:val="20"/>
          <w:lang w:val="it-IT"/>
        </w:rPr>
        <w:t xml:space="preserve">a 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Topcon Apollo </w:t>
      </w:r>
      <w:r w:rsidRPr="00F95474">
        <w:rPr>
          <w:rFonts w:ascii="Arial" w:hAnsi="Arial"/>
          <w:color w:val="000000"/>
          <w:sz w:val="20"/>
          <w:szCs w:val="20"/>
          <w:lang w:val="it-IT"/>
        </w:rPr>
        <w:t>per il controllo d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elle</w:t>
      </w:r>
      <w:r w:rsidRPr="00F95474">
        <w:rPr>
          <w:rFonts w:ascii="Arial" w:hAnsi="Arial"/>
          <w:color w:val="000000"/>
          <w:sz w:val="20"/>
          <w:szCs w:val="20"/>
          <w:lang w:val="it-IT"/>
        </w:rPr>
        <w:t xml:space="preserve"> seminatrici pneumatiche, la centralina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Athene </w:t>
      </w:r>
      <w:r w:rsidRPr="00F95474">
        <w:rPr>
          <w:rFonts w:ascii="Arial" w:hAnsi="Arial"/>
          <w:color w:val="000000"/>
          <w:sz w:val="20"/>
          <w:szCs w:val="20"/>
          <w:lang w:val="it-IT"/>
        </w:rPr>
        <w:t>è una soluzione completa basata sulla tecnologia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collaudata e sull’esperienza decennale di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RDS Technology,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una recente acquisizione di 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Topcon,”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dice 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John </w:t>
      </w:r>
      <w:proofErr w:type="spellStart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Newcombe</w:t>
      </w:r>
      <w:proofErr w:type="spellEnd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proofErr w:type="spellStart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product</w:t>
      </w:r>
      <w:proofErr w:type="spellEnd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 manager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 xml:space="preserve"> di 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 xml:space="preserve">Topcon </w:t>
      </w:r>
      <w:proofErr w:type="spellStart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Agriculture</w:t>
      </w:r>
      <w:proofErr w:type="spellEnd"/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t>.</w:t>
      </w:r>
      <w:r w:rsidR="00DD2565" w:rsidRPr="00F95474">
        <w:rPr>
          <w:rFonts w:ascii="Arial" w:hAnsi="Arial"/>
          <w:color w:val="000000"/>
          <w:sz w:val="20"/>
          <w:szCs w:val="20"/>
          <w:lang w:val="it-IT"/>
        </w:rPr>
        <w:br/>
      </w:r>
    </w:p>
    <w:p w:rsidR="00DD2565" w:rsidRPr="00AC45C0" w:rsidRDefault="00AC45C0" w:rsidP="00543B27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Le funzionalità di </w:t>
      </w:r>
      <w:proofErr w:type="spellStart"/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>Athene</w:t>
      </w:r>
      <w:proofErr w:type="spellEnd"/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>includono l’applicazione a dos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i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 variabil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i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 (VRA) 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e il controllo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 xml:space="preserve">automatico 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delle sezioni 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(SC) 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>per lo start/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stop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 xml:space="preserve">dello spandiconcime 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attraverso 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il controller 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TC; 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c</w:t>
      </w:r>
      <w:r>
        <w:rPr>
          <w:rFonts w:ascii="Arial" w:hAnsi="Arial"/>
          <w:color w:val="000000"/>
          <w:sz w:val="20"/>
          <w:szCs w:val="20"/>
          <w:lang w:val="it-IT"/>
        </w:rPr>
        <w:t>ontrollo dell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e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dos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i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variabil</w:t>
      </w:r>
      <w:r w:rsidR="004C0BF2">
        <w:rPr>
          <w:rFonts w:ascii="Arial" w:hAnsi="Arial"/>
          <w:color w:val="000000"/>
          <w:sz w:val="20"/>
          <w:szCs w:val="20"/>
          <w:lang w:val="it-IT"/>
        </w:rPr>
        <w:t>i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proporzionale alla velocità di avanzamento basato sulla velocità del nastro idraulico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; </w:t>
      </w:r>
      <w:r>
        <w:rPr>
          <w:rFonts w:ascii="Arial" w:hAnsi="Arial"/>
          <w:color w:val="000000"/>
          <w:sz w:val="20"/>
          <w:szCs w:val="20"/>
          <w:lang w:val="it-IT"/>
        </w:rPr>
        <w:t>possibilità di cambiare dose in movimento e monitoraggio dell’apertura dell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>e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 xml:space="preserve">bocchette </w:t>
      </w:r>
      <w:r>
        <w:rPr>
          <w:rFonts w:ascii="Arial" w:hAnsi="Arial"/>
          <w:color w:val="000000"/>
          <w:sz w:val="20"/>
          <w:szCs w:val="20"/>
          <w:lang w:val="it-IT"/>
        </w:rPr>
        <w:t>di scarico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DD2565" w:rsidRPr="00AC45C0" w:rsidRDefault="00DD2565" w:rsidP="00DD256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D2565" w:rsidRPr="00AC45C0" w:rsidRDefault="00DD2565" w:rsidP="00543B27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“Athene 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>porta un nuovo livello di produttività, efficienza e facilità d’uso agli spandiconcime a nastro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,” 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>dice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 xml:space="preserve"> Newcombe. “</w:t>
      </w:r>
      <w:r w:rsidR="00E64771">
        <w:rPr>
          <w:rFonts w:ascii="Arial" w:hAnsi="Arial"/>
          <w:color w:val="000000"/>
          <w:sz w:val="20"/>
          <w:szCs w:val="20"/>
          <w:lang w:val="it-IT"/>
        </w:rPr>
        <w:t>L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 xml:space="preserve">a sua 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 xml:space="preserve">intuitiva interfaccia utente 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 xml:space="preserve">è sviluppata per lavorare con le console della famiglia 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 xml:space="preserve">Topcon 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 xml:space="preserve">X o con 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>i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 xml:space="preserve"> terminali 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>u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>niversali IS</w:t>
      </w:r>
      <w:r w:rsidR="00AC45C0">
        <w:rPr>
          <w:rFonts w:ascii="Arial" w:hAnsi="Arial"/>
          <w:color w:val="000000"/>
          <w:sz w:val="20"/>
          <w:szCs w:val="20"/>
          <w:lang w:val="it-IT"/>
        </w:rPr>
        <w:t>O</w:t>
      </w:r>
      <w:r w:rsidR="00AC45C0" w:rsidRPr="00AC45C0">
        <w:rPr>
          <w:rFonts w:ascii="Arial" w:hAnsi="Arial"/>
          <w:color w:val="000000"/>
          <w:sz w:val="20"/>
          <w:szCs w:val="20"/>
          <w:lang w:val="it-IT"/>
        </w:rPr>
        <w:t>BUS</w:t>
      </w:r>
      <w:r w:rsidR="00AC45C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543B27">
        <w:rPr>
          <w:rFonts w:ascii="Arial" w:hAnsi="Arial"/>
          <w:color w:val="000000"/>
          <w:sz w:val="20"/>
          <w:szCs w:val="20"/>
          <w:lang w:val="it-IT"/>
        </w:rPr>
        <w:t>già</w:t>
      </w:r>
      <w:r w:rsidR="00AC45C0">
        <w:rPr>
          <w:rFonts w:ascii="Arial" w:hAnsi="Arial"/>
          <w:color w:val="000000"/>
          <w:sz w:val="20"/>
          <w:szCs w:val="20"/>
          <w:lang w:val="it-IT"/>
        </w:rPr>
        <w:t xml:space="preserve"> presenti sui trattori</w:t>
      </w:r>
      <w:r w:rsidRPr="00AC45C0">
        <w:rPr>
          <w:rFonts w:ascii="Arial" w:hAnsi="Arial"/>
          <w:color w:val="000000"/>
          <w:sz w:val="20"/>
          <w:szCs w:val="20"/>
          <w:lang w:val="it-IT"/>
        </w:rPr>
        <w:t>.”</w:t>
      </w:r>
    </w:p>
    <w:p w:rsidR="00DD2565" w:rsidRPr="00AC45C0" w:rsidRDefault="00DD2565" w:rsidP="00DD256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D2565" w:rsidRPr="00277CAD" w:rsidRDefault="00AC45C0" w:rsidP="004556C6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>
        <w:rPr>
          <w:rFonts w:ascii="Arial" w:hAnsi="Arial"/>
          <w:color w:val="000000"/>
          <w:sz w:val="20"/>
          <w:szCs w:val="20"/>
          <w:lang w:val="it-IT"/>
        </w:rPr>
        <w:t xml:space="preserve">Con l’aggiunta in opzione delle celle di carico e della centralina associata, il sistema 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Athene </w:t>
      </w:r>
      <w:r>
        <w:rPr>
          <w:rFonts w:ascii="Arial" w:hAnsi="Arial"/>
          <w:color w:val="000000"/>
          <w:sz w:val="20"/>
          <w:szCs w:val="20"/>
          <w:lang w:val="it-IT"/>
        </w:rPr>
        <w:t>può anche offrire la funzionalità di pesatura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>
        <w:rPr>
          <w:rFonts w:ascii="Arial" w:hAnsi="Arial"/>
          <w:color w:val="000000"/>
          <w:sz w:val="20"/>
          <w:szCs w:val="20"/>
          <w:lang w:val="it-IT"/>
        </w:rPr>
        <w:t>Il sistema è sviluppato per mostrare il peso del prodotto nello spandiconcime in tempo reale e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>d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 ef</w:t>
      </w:r>
      <w:r w:rsidR="00277CAD">
        <w:rPr>
          <w:rFonts w:ascii="Arial" w:hAnsi="Arial"/>
          <w:color w:val="000000"/>
          <w:sz w:val="20"/>
          <w:szCs w:val="20"/>
          <w:lang w:val="it-IT"/>
        </w:rPr>
        <w:t>fettuare l’auto-</w:t>
      </w:r>
      <w:r>
        <w:rPr>
          <w:rFonts w:ascii="Arial" w:hAnsi="Arial"/>
          <w:color w:val="000000"/>
          <w:sz w:val="20"/>
          <w:szCs w:val="20"/>
          <w:lang w:val="it-IT"/>
        </w:rPr>
        <w:t xml:space="preserve">calibrazione dinamica </w:t>
      </w:r>
      <w:r w:rsidR="00277CAD">
        <w:rPr>
          <w:rFonts w:ascii="Arial" w:hAnsi="Arial"/>
          <w:color w:val="000000"/>
          <w:sz w:val="20"/>
          <w:szCs w:val="20"/>
          <w:lang w:val="it-IT"/>
        </w:rPr>
        <w:t>in movimento</w:t>
      </w:r>
      <w:r w:rsidR="00DD2565" w:rsidRPr="00AC45C0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="00277CAD">
        <w:rPr>
          <w:rFonts w:ascii="Arial" w:hAnsi="Arial"/>
          <w:color w:val="000000"/>
          <w:sz w:val="20"/>
          <w:szCs w:val="20"/>
          <w:lang w:val="it-IT"/>
        </w:rPr>
        <w:t>La centralina di pesatura contiene inoltre un accelerometro a 2 assi per compensare i calcoli quando si lavora su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 xml:space="preserve"> campi in </w:t>
      </w:r>
      <w:r w:rsidR="00277CAD">
        <w:rPr>
          <w:rFonts w:ascii="Arial" w:hAnsi="Arial"/>
          <w:color w:val="000000"/>
          <w:sz w:val="20"/>
          <w:szCs w:val="20"/>
          <w:lang w:val="it-IT"/>
        </w:rPr>
        <w:t>pendenz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>a</w:t>
      </w:r>
      <w:r w:rsidR="00277CAD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DD2565" w:rsidRPr="00277CAD" w:rsidRDefault="00DD2565" w:rsidP="00DD256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D2565" w:rsidRPr="00277CAD" w:rsidRDefault="00277CAD" w:rsidP="004556C6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277CAD">
        <w:rPr>
          <w:rFonts w:ascii="Arial" w:hAnsi="Arial"/>
          <w:color w:val="000000"/>
          <w:sz w:val="20"/>
          <w:szCs w:val="20"/>
          <w:lang w:val="it-IT"/>
        </w:rPr>
        <w:t>Sono previste per il futur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>o</w:t>
      </w:r>
      <w:r w:rsidRPr="00277CAD">
        <w:rPr>
          <w:rFonts w:ascii="Arial" w:hAnsi="Arial"/>
          <w:color w:val="000000"/>
          <w:sz w:val="20"/>
          <w:szCs w:val="20"/>
          <w:lang w:val="it-IT"/>
        </w:rPr>
        <w:t xml:space="preserve"> funzionalità 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 xml:space="preserve">e caratteristiche aggiuntive </w:t>
      </w:r>
      <w:r w:rsidRPr="00277CAD">
        <w:rPr>
          <w:rFonts w:ascii="Arial" w:hAnsi="Arial"/>
          <w:color w:val="000000"/>
          <w:sz w:val="20"/>
          <w:szCs w:val="20"/>
          <w:lang w:val="it-IT"/>
        </w:rPr>
        <w:t xml:space="preserve">per permettere al 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>s</w:t>
      </w:r>
      <w:r w:rsidRPr="00277CAD">
        <w:rPr>
          <w:rFonts w:ascii="Arial" w:hAnsi="Arial"/>
          <w:color w:val="000000"/>
          <w:sz w:val="20"/>
          <w:szCs w:val="20"/>
          <w:lang w:val="it-IT"/>
        </w:rPr>
        <w:t xml:space="preserve">istema </w:t>
      </w:r>
      <w:r w:rsidR="004556C6">
        <w:rPr>
          <w:rFonts w:ascii="Arial" w:hAnsi="Arial"/>
          <w:color w:val="000000"/>
          <w:sz w:val="20"/>
          <w:szCs w:val="20"/>
          <w:lang w:val="it-IT"/>
        </w:rPr>
        <w:t xml:space="preserve">per spandiconcime </w:t>
      </w:r>
      <w:proofErr w:type="spellStart"/>
      <w:r w:rsidRPr="00277CAD">
        <w:rPr>
          <w:rFonts w:ascii="Arial" w:hAnsi="Arial"/>
          <w:color w:val="000000"/>
          <w:sz w:val="20"/>
          <w:szCs w:val="20"/>
          <w:lang w:val="it-IT"/>
        </w:rPr>
        <w:t>Athene</w:t>
      </w:r>
      <w:proofErr w:type="spellEnd"/>
      <w:r w:rsidRPr="00277CAD">
        <w:rPr>
          <w:rFonts w:ascii="Arial" w:hAnsi="Arial"/>
          <w:color w:val="000000"/>
          <w:sz w:val="20"/>
          <w:szCs w:val="20"/>
          <w:lang w:val="it-IT"/>
        </w:rPr>
        <w:t xml:space="preserve"> di offrire al mercato le risposte a tutte le necessità.</w:t>
      </w:r>
    </w:p>
    <w:p w:rsidR="00DD2565" w:rsidRPr="00277CAD" w:rsidRDefault="00DD2565" w:rsidP="00DD256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DD2565" w:rsidRDefault="00277CAD" w:rsidP="00DD256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277CAD">
        <w:rPr>
          <w:rFonts w:ascii="Arial" w:hAnsi="Arial"/>
          <w:color w:val="000000"/>
          <w:sz w:val="20"/>
          <w:szCs w:val="20"/>
          <w:lang w:val="it-IT"/>
        </w:rPr>
        <w:t xml:space="preserve">Per ulteriori informazioni su </w:t>
      </w:r>
      <w:proofErr w:type="spellStart"/>
      <w:r w:rsidRPr="00277CAD">
        <w:rPr>
          <w:rFonts w:ascii="Arial" w:hAnsi="Arial"/>
          <w:color w:val="000000"/>
          <w:sz w:val="20"/>
          <w:szCs w:val="20"/>
          <w:lang w:val="it-IT"/>
        </w:rPr>
        <w:t>Athene</w:t>
      </w:r>
      <w:proofErr w:type="spellEnd"/>
      <w:r w:rsidRPr="00277CAD">
        <w:rPr>
          <w:rFonts w:ascii="Arial" w:hAnsi="Arial"/>
          <w:color w:val="000000"/>
          <w:sz w:val="20"/>
          <w:szCs w:val="20"/>
          <w:lang w:val="it-IT"/>
        </w:rPr>
        <w:t xml:space="preserve"> visitate </w:t>
      </w:r>
      <w:hyperlink r:id="rId9" w:history="1">
        <w:r w:rsidR="00DD2565" w:rsidRPr="00277CAD">
          <w:rPr>
            <w:rStyle w:val="Collegamentoipertestuale"/>
            <w:rFonts w:ascii="Arial" w:hAnsi="Arial"/>
            <w:sz w:val="20"/>
            <w:szCs w:val="20"/>
            <w:lang w:val="it-IT"/>
          </w:rPr>
          <w:t>topconpositioning.com/agriculture</w:t>
        </w:r>
      </w:hyperlink>
      <w:r w:rsidR="00DD2565" w:rsidRPr="00277CAD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E64771" w:rsidRPr="00277CAD" w:rsidRDefault="00E64771" w:rsidP="00DD2565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F86AB9" w:rsidRPr="00277CAD" w:rsidRDefault="00F86AB9" w:rsidP="00DD2565">
      <w:pPr>
        <w:tabs>
          <w:tab w:val="left" w:pos="270"/>
        </w:tabs>
        <w:rPr>
          <w:rFonts w:ascii="Arial" w:hAnsi="Arial"/>
          <w:color w:val="000000"/>
          <w:sz w:val="10"/>
          <w:szCs w:val="22"/>
          <w:lang w:val="it-IT"/>
        </w:rPr>
      </w:pPr>
    </w:p>
    <w:p w:rsidR="006456AE" w:rsidRPr="005E548A" w:rsidRDefault="007530F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bookmarkStart w:id="0" w:name="_GoBack"/>
      <w:r w:rsidRPr="005E548A">
        <w:rPr>
          <w:rFonts w:ascii="Arial" w:hAnsi="Arial" w:cs="Arial"/>
          <w:sz w:val="16"/>
          <w:szCs w:val="18"/>
          <w:lang w:val="it-IT"/>
        </w:rPr>
        <w:t># # #</w:t>
      </w:r>
    </w:p>
    <w:p w:rsidR="00594377" w:rsidRPr="005E548A" w:rsidRDefault="00594377" w:rsidP="00594377">
      <w:pPr>
        <w:tabs>
          <w:tab w:val="left" w:pos="270"/>
        </w:tabs>
        <w:rPr>
          <w:rFonts w:ascii="Arial" w:hAnsi="Arial" w:cs="Arial"/>
          <w:sz w:val="6"/>
          <w:szCs w:val="18"/>
          <w:lang w:val="it-IT"/>
        </w:rPr>
      </w:pPr>
    </w:p>
    <w:p w:rsidR="00277CAD" w:rsidRPr="005E548A" w:rsidRDefault="00277CAD" w:rsidP="00594377">
      <w:pPr>
        <w:tabs>
          <w:tab w:val="left" w:pos="270"/>
        </w:tabs>
        <w:rPr>
          <w:rFonts w:ascii="Arial" w:hAnsi="Arial" w:cs="Arial"/>
          <w:sz w:val="6"/>
          <w:szCs w:val="18"/>
          <w:lang w:val="it-IT"/>
        </w:rPr>
      </w:pPr>
    </w:p>
    <w:p w:rsidR="00E64771" w:rsidRDefault="00E64771" w:rsidP="00277CAD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</w:p>
    <w:p w:rsidR="00277CAD" w:rsidRPr="00277CAD" w:rsidRDefault="004556C6" w:rsidP="004556C6">
      <w:pPr>
        <w:tabs>
          <w:tab w:val="left" w:pos="270"/>
        </w:tabs>
        <w:rPr>
          <w:rFonts w:ascii="Arial" w:hAnsi="Arial"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>Informazioni su</w:t>
      </w:r>
      <w:r w:rsidR="00277CAD"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 Topcon Positioning Group</w:t>
      </w:r>
      <w:r w:rsidR="00277CAD" w:rsidRPr="00277CAD">
        <w:rPr>
          <w:rFonts w:ascii="Arial" w:hAnsi="Arial"/>
          <w:color w:val="808080" w:themeColor="background1" w:themeShade="80"/>
          <w:sz w:val="18"/>
          <w:szCs w:val="18"/>
          <w:lang w:val="it-IT"/>
        </w:rPr>
        <w:t xml:space="preserve"> </w:t>
      </w:r>
    </w:p>
    <w:p w:rsidR="00277CAD" w:rsidRPr="004556C6" w:rsidRDefault="004556C6" w:rsidP="004556C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Topcon Positioning Group ha sede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Livermore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California, USA (</w:t>
      </w:r>
      <w:hyperlink r:id="rId10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topconpositioning.com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La sua sede centrale europea è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Capelle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a/d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IJssel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Paesi Bassi (</w:t>
      </w:r>
      <w:proofErr w:type="spellStart"/>
      <w:r w:rsidR="00613251" w:rsidRPr="00613251">
        <w:rPr>
          <w:rFonts w:ascii="Arial" w:hAnsi="Arial"/>
          <w:color w:val="808080" w:themeColor="background1" w:themeShade="80"/>
          <w:sz w:val="14"/>
          <w:szCs w:val="14"/>
        </w:rPr>
        <w:fldChar w:fldCharType="begin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instrText>HYPERLINK "http://www.topconpositioning.eu"</w:instrText>
      </w:r>
      <w:r w:rsidR="00613251" w:rsidRPr="00613251">
        <w:rPr>
          <w:rFonts w:ascii="Arial" w:hAnsi="Arial"/>
          <w:color w:val="808080" w:themeColor="background1" w:themeShade="80"/>
          <w:sz w:val="14"/>
          <w:szCs w:val="14"/>
        </w:rPr>
        <w:fldChar w:fldCharType="separate"/>
      </w:r>
      <w:r w:rsidRPr="004556C6">
        <w:rPr>
          <w:rStyle w:val="Collegamentoipertestuale"/>
          <w:rFonts w:ascii="Arial" w:hAnsi="Arial"/>
          <w:sz w:val="14"/>
          <w:szCs w:val="14"/>
          <w:lang w:val="it-IT"/>
        </w:rPr>
        <w:t>topconpositioning.eu</w:t>
      </w:r>
      <w:proofErr w:type="spellEnd"/>
      <w:r w:rsidR="00613251"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fldChar w:fldCharType="end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Topcon Positioning Group progetta, realizza e distribuisce prodotti e soluzioni per il posizionamento di precisione e soluzioni per il rilevamento globale, edilizia e costruzioni, agricoltura, ingegneria civile, BIM, cartografia e GIS,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asset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management e mercati di mobile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control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. I suoi marchi includono Topcon, Sokkia,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Tierra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Wachendorff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Elektronik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Digi-Star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RDS Technologies, NORAC e 2LS. Topcon Corporation (</w:t>
      </w:r>
      <w:hyperlink r:id="rId11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), fondata nel 1932, è quotata alla Borsa di Tokyo (7732). </w:t>
      </w:r>
      <w:r w:rsidR="00277CAD"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C725ED" w:rsidRPr="005E548A" w:rsidRDefault="00C725ED" w:rsidP="00E07F73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</w:p>
    <w:p w:rsidR="0042655C" w:rsidRPr="006C6F1F" w:rsidRDefault="0042655C" w:rsidP="0042655C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b/>
          <w:color w:val="808080" w:themeColor="background1" w:themeShade="80"/>
          <w:sz w:val="14"/>
          <w:szCs w:val="14"/>
        </w:rPr>
        <w:t>Media Contact</w:t>
      </w:r>
    </w:p>
    <w:p w:rsidR="0042655C" w:rsidRPr="006C6F1F" w:rsidRDefault="0042655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Staci Fitzgerald</w:t>
      </w:r>
    </w:p>
    <w:p w:rsidR="0042655C" w:rsidRPr="006C6F1F" w:rsidRDefault="0042655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Corporate Communications Manager</w:t>
      </w:r>
    </w:p>
    <w:p w:rsidR="0042655C" w:rsidRPr="006C6F1F" w:rsidRDefault="0042655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Topcon Positioning Group</w:t>
      </w:r>
    </w:p>
    <w:p w:rsidR="0042655C" w:rsidRPr="0067710D" w:rsidRDefault="0042655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es-ES"/>
        </w:rPr>
      </w:pPr>
      <w:r w:rsidRPr="0067710D">
        <w:rPr>
          <w:rFonts w:ascii="Arial" w:hAnsi="Arial"/>
          <w:color w:val="808080" w:themeColor="background1" w:themeShade="80"/>
          <w:sz w:val="14"/>
          <w:szCs w:val="14"/>
          <w:lang w:val="es-ES"/>
        </w:rPr>
        <w:t xml:space="preserve">925-245-8610, </w:t>
      </w:r>
      <w:hyperlink r:id="rId12" w:history="1">
        <w:r w:rsidR="00A356BE" w:rsidRPr="0067710D">
          <w:rPr>
            <w:rStyle w:val="Collegamentoipertestuale"/>
            <w:rFonts w:ascii="Arial" w:hAnsi="Arial"/>
            <w:sz w:val="14"/>
            <w:szCs w:val="14"/>
            <w:lang w:val="es-ES"/>
          </w:rPr>
          <w:t>CorpComm@topcon.com</w:t>
        </w:r>
      </w:hyperlink>
      <w:r w:rsidRPr="0067710D">
        <w:rPr>
          <w:rFonts w:ascii="Arial" w:hAnsi="Arial"/>
          <w:color w:val="808080" w:themeColor="background1" w:themeShade="80"/>
          <w:sz w:val="14"/>
          <w:szCs w:val="14"/>
          <w:lang w:val="es-ES"/>
        </w:rPr>
        <w:tab/>
      </w:r>
    </w:p>
    <w:p w:rsidR="0042655C" w:rsidRPr="0067710D" w:rsidRDefault="0042655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0"/>
          <w:szCs w:val="14"/>
          <w:lang w:val="es-ES"/>
        </w:rPr>
      </w:pPr>
    </w:p>
    <w:p w:rsidR="0042655C" w:rsidRPr="0067710D" w:rsidRDefault="0042655C" w:rsidP="0042655C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</w:pPr>
      <w:r w:rsidRPr="0067710D"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  <w:t xml:space="preserve">Marketing </w:t>
      </w:r>
      <w:proofErr w:type="spellStart"/>
      <w:r w:rsidRPr="0067710D"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  <w:t>Contact</w:t>
      </w:r>
      <w:proofErr w:type="spellEnd"/>
    </w:p>
    <w:p w:rsidR="0042655C" w:rsidRPr="0067710D" w:rsidRDefault="00C47B9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es-ES"/>
        </w:rPr>
      </w:pPr>
      <w:r w:rsidRPr="0067710D">
        <w:rPr>
          <w:rFonts w:ascii="Arial" w:hAnsi="Arial"/>
          <w:color w:val="808080" w:themeColor="background1" w:themeShade="80"/>
          <w:sz w:val="14"/>
          <w:szCs w:val="14"/>
          <w:lang w:val="es-ES"/>
        </w:rPr>
        <w:lastRenderedPageBreak/>
        <w:t>Julián Rioja</w:t>
      </w:r>
    </w:p>
    <w:p w:rsidR="0042655C" w:rsidRPr="006C6F1F" w:rsidRDefault="009F43CE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>
        <w:rPr>
          <w:rFonts w:ascii="Arial" w:hAnsi="Arial"/>
          <w:color w:val="808080" w:themeColor="background1" w:themeShade="80"/>
          <w:sz w:val="14"/>
          <w:szCs w:val="14"/>
        </w:rPr>
        <w:t>Marketing Manager, Ag</w:t>
      </w:r>
      <w:r w:rsidR="00C47B9C">
        <w:rPr>
          <w:rFonts w:ascii="Arial" w:hAnsi="Arial"/>
          <w:color w:val="808080" w:themeColor="background1" w:themeShade="80"/>
          <w:sz w:val="14"/>
          <w:szCs w:val="14"/>
        </w:rPr>
        <w:t xml:space="preserve"> EAME</w:t>
      </w:r>
    </w:p>
    <w:p w:rsidR="0042655C" w:rsidRPr="006C6F1F" w:rsidRDefault="0042655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Topcon P</w:t>
      </w:r>
      <w:r w:rsidR="00C47B9C">
        <w:rPr>
          <w:rFonts w:ascii="Arial" w:hAnsi="Arial"/>
          <w:color w:val="808080" w:themeColor="background1" w:themeShade="80"/>
          <w:sz w:val="14"/>
          <w:szCs w:val="14"/>
        </w:rPr>
        <w:t>recision Agriculture Europe</w:t>
      </w:r>
    </w:p>
    <w:p w:rsidR="00E76568" w:rsidRPr="006C6F1F" w:rsidRDefault="00C47B9C" w:rsidP="0042655C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>
        <w:rPr>
          <w:rFonts w:ascii="Arial" w:hAnsi="Arial"/>
          <w:color w:val="808080" w:themeColor="background1" w:themeShade="80"/>
          <w:sz w:val="14"/>
          <w:szCs w:val="14"/>
        </w:rPr>
        <w:t xml:space="preserve">+34-673-892-169 </w:t>
      </w:r>
      <w:hyperlink r:id="rId13" w:history="1">
        <w:r w:rsidRPr="009E0466">
          <w:rPr>
            <w:rStyle w:val="Collegamentoipertestuale"/>
            <w:rFonts w:ascii="Arial" w:hAnsi="Arial"/>
            <w:sz w:val="14"/>
            <w:szCs w:val="14"/>
          </w:rPr>
          <w:t>jrioja@topcon.com</w:t>
        </w:r>
      </w:hyperlink>
      <w:r>
        <w:rPr>
          <w:rFonts w:ascii="Arial" w:hAnsi="Arial"/>
          <w:color w:val="808080" w:themeColor="background1" w:themeShade="80"/>
          <w:sz w:val="14"/>
          <w:szCs w:val="14"/>
        </w:rPr>
        <w:t xml:space="preserve"> </w:t>
      </w:r>
      <w:r w:rsidRPr="006C6F1F">
        <w:rPr>
          <w:rFonts w:ascii="Arial" w:hAnsi="Arial"/>
          <w:color w:val="808080" w:themeColor="background1" w:themeShade="80"/>
          <w:sz w:val="14"/>
          <w:szCs w:val="14"/>
        </w:rPr>
        <w:t xml:space="preserve"> </w:t>
      </w:r>
      <w:bookmarkEnd w:id="0"/>
    </w:p>
    <w:sectPr w:rsidR="00E76568" w:rsidRPr="006C6F1F" w:rsidSect="0009234C">
      <w:headerReference w:type="first" r:id="rId14"/>
      <w:footerReference w:type="first" r:id="rId15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B13" w:rsidRDefault="00743B13">
      <w:r>
        <w:separator/>
      </w:r>
    </w:p>
  </w:endnote>
  <w:endnote w:type="continuationSeparator" w:id="0">
    <w:p w:rsidR="00743B13" w:rsidRDefault="0074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283069" w:rsidRDefault="00FF2C43" w:rsidP="00283069">
    <w:pPr>
      <w:pStyle w:val="Pidipagina"/>
      <w:jc w:val="right"/>
    </w:pP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B13" w:rsidRDefault="00743B13">
      <w:r>
        <w:separator/>
      </w:r>
    </w:p>
  </w:footnote>
  <w:footnote w:type="continuationSeparator" w:id="0">
    <w:p w:rsidR="00743B13" w:rsidRDefault="00743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EB1000" w:rsidRDefault="00FF2C43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 w:bidi="he-I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F2C43" w:rsidRPr="00EB1000" w:rsidRDefault="00FF2C43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FF2C43" w:rsidRPr="001A276A" w:rsidRDefault="00255CC8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13E5B"/>
    <w:rsid w:val="00006C61"/>
    <w:rsid w:val="000418C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23665"/>
    <w:rsid w:val="00163F32"/>
    <w:rsid w:val="00177523"/>
    <w:rsid w:val="001855FB"/>
    <w:rsid w:val="001A276A"/>
    <w:rsid w:val="001A5950"/>
    <w:rsid w:val="001B6BA0"/>
    <w:rsid w:val="001D47AE"/>
    <w:rsid w:val="001E495F"/>
    <w:rsid w:val="001F02F7"/>
    <w:rsid w:val="00211CAC"/>
    <w:rsid w:val="0021353A"/>
    <w:rsid w:val="00220127"/>
    <w:rsid w:val="002339AA"/>
    <w:rsid w:val="00234742"/>
    <w:rsid w:val="002377E8"/>
    <w:rsid w:val="002475DD"/>
    <w:rsid w:val="00255CC8"/>
    <w:rsid w:val="00265C21"/>
    <w:rsid w:val="00267859"/>
    <w:rsid w:val="002751AA"/>
    <w:rsid w:val="00277CAD"/>
    <w:rsid w:val="00280B3F"/>
    <w:rsid w:val="00283069"/>
    <w:rsid w:val="00283421"/>
    <w:rsid w:val="002B2158"/>
    <w:rsid w:val="002B65A9"/>
    <w:rsid w:val="002B7EB0"/>
    <w:rsid w:val="002C1A8C"/>
    <w:rsid w:val="002E2BC8"/>
    <w:rsid w:val="002E5E21"/>
    <w:rsid w:val="00313F6E"/>
    <w:rsid w:val="0032173B"/>
    <w:rsid w:val="003217F4"/>
    <w:rsid w:val="00340920"/>
    <w:rsid w:val="0034548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F134C"/>
    <w:rsid w:val="003F5E34"/>
    <w:rsid w:val="00413E95"/>
    <w:rsid w:val="00416269"/>
    <w:rsid w:val="0042655C"/>
    <w:rsid w:val="0043387D"/>
    <w:rsid w:val="00433A38"/>
    <w:rsid w:val="00452580"/>
    <w:rsid w:val="004556C6"/>
    <w:rsid w:val="00471166"/>
    <w:rsid w:val="004755C7"/>
    <w:rsid w:val="004C0BF2"/>
    <w:rsid w:val="004C2A52"/>
    <w:rsid w:val="00513E5B"/>
    <w:rsid w:val="00531BEE"/>
    <w:rsid w:val="0053789D"/>
    <w:rsid w:val="005378E1"/>
    <w:rsid w:val="00543B27"/>
    <w:rsid w:val="005502C7"/>
    <w:rsid w:val="0058710D"/>
    <w:rsid w:val="00587A94"/>
    <w:rsid w:val="00594377"/>
    <w:rsid w:val="005A23A0"/>
    <w:rsid w:val="005A4B01"/>
    <w:rsid w:val="005C44F8"/>
    <w:rsid w:val="005C48E8"/>
    <w:rsid w:val="005E548A"/>
    <w:rsid w:val="005F0C86"/>
    <w:rsid w:val="005F3D0B"/>
    <w:rsid w:val="006103A4"/>
    <w:rsid w:val="0061068D"/>
    <w:rsid w:val="006112E8"/>
    <w:rsid w:val="00613251"/>
    <w:rsid w:val="0061580F"/>
    <w:rsid w:val="00617F10"/>
    <w:rsid w:val="00622524"/>
    <w:rsid w:val="006274D0"/>
    <w:rsid w:val="00637E81"/>
    <w:rsid w:val="0064309C"/>
    <w:rsid w:val="00644D92"/>
    <w:rsid w:val="006456AE"/>
    <w:rsid w:val="00653C74"/>
    <w:rsid w:val="0067710D"/>
    <w:rsid w:val="0069002A"/>
    <w:rsid w:val="006926B3"/>
    <w:rsid w:val="006B2A9A"/>
    <w:rsid w:val="006C6F1F"/>
    <w:rsid w:val="006E05C2"/>
    <w:rsid w:val="00743B13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7D51D2"/>
    <w:rsid w:val="00810DE0"/>
    <w:rsid w:val="00813405"/>
    <w:rsid w:val="008141F4"/>
    <w:rsid w:val="008205DE"/>
    <w:rsid w:val="00832E9A"/>
    <w:rsid w:val="00846CEF"/>
    <w:rsid w:val="00853C9A"/>
    <w:rsid w:val="00870D37"/>
    <w:rsid w:val="008802C4"/>
    <w:rsid w:val="00891FF7"/>
    <w:rsid w:val="00892065"/>
    <w:rsid w:val="008962D4"/>
    <w:rsid w:val="008D0202"/>
    <w:rsid w:val="008E6FD9"/>
    <w:rsid w:val="008F54A3"/>
    <w:rsid w:val="009125F4"/>
    <w:rsid w:val="009434F4"/>
    <w:rsid w:val="009558FC"/>
    <w:rsid w:val="00956EF7"/>
    <w:rsid w:val="009666D5"/>
    <w:rsid w:val="00975493"/>
    <w:rsid w:val="00994B32"/>
    <w:rsid w:val="009964DE"/>
    <w:rsid w:val="009D4499"/>
    <w:rsid w:val="009F43CE"/>
    <w:rsid w:val="00A06D66"/>
    <w:rsid w:val="00A30213"/>
    <w:rsid w:val="00A324A3"/>
    <w:rsid w:val="00A356BE"/>
    <w:rsid w:val="00A41F3F"/>
    <w:rsid w:val="00A47E24"/>
    <w:rsid w:val="00A57BD4"/>
    <w:rsid w:val="00A60195"/>
    <w:rsid w:val="00A74E93"/>
    <w:rsid w:val="00A9365C"/>
    <w:rsid w:val="00A976A5"/>
    <w:rsid w:val="00AA2A43"/>
    <w:rsid w:val="00AC09BA"/>
    <w:rsid w:val="00AC1F7B"/>
    <w:rsid w:val="00AC45C0"/>
    <w:rsid w:val="00AE0D23"/>
    <w:rsid w:val="00AE6481"/>
    <w:rsid w:val="00B35AF9"/>
    <w:rsid w:val="00B402B7"/>
    <w:rsid w:val="00B4058E"/>
    <w:rsid w:val="00B63468"/>
    <w:rsid w:val="00B92736"/>
    <w:rsid w:val="00B92C56"/>
    <w:rsid w:val="00B92CFE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ADA"/>
    <w:rsid w:val="00C24091"/>
    <w:rsid w:val="00C31391"/>
    <w:rsid w:val="00C47B9C"/>
    <w:rsid w:val="00C638D1"/>
    <w:rsid w:val="00C725ED"/>
    <w:rsid w:val="00C7597C"/>
    <w:rsid w:val="00C81D46"/>
    <w:rsid w:val="00C92C21"/>
    <w:rsid w:val="00C96821"/>
    <w:rsid w:val="00CD3455"/>
    <w:rsid w:val="00CE188F"/>
    <w:rsid w:val="00CE7843"/>
    <w:rsid w:val="00CF403B"/>
    <w:rsid w:val="00CF7F92"/>
    <w:rsid w:val="00CF7FC5"/>
    <w:rsid w:val="00D47414"/>
    <w:rsid w:val="00D55832"/>
    <w:rsid w:val="00D6369D"/>
    <w:rsid w:val="00D647FC"/>
    <w:rsid w:val="00D672DA"/>
    <w:rsid w:val="00D6784A"/>
    <w:rsid w:val="00D70AF0"/>
    <w:rsid w:val="00D70EE2"/>
    <w:rsid w:val="00D91CF0"/>
    <w:rsid w:val="00D979CB"/>
    <w:rsid w:val="00DC60A0"/>
    <w:rsid w:val="00DD2565"/>
    <w:rsid w:val="00E07F73"/>
    <w:rsid w:val="00E16158"/>
    <w:rsid w:val="00E32B47"/>
    <w:rsid w:val="00E47E09"/>
    <w:rsid w:val="00E64771"/>
    <w:rsid w:val="00E76568"/>
    <w:rsid w:val="00E878AA"/>
    <w:rsid w:val="00EB1000"/>
    <w:rsid w:val="00ED70D3"/>
    <w:rsid w:val="00EE2228"/>
    <w:rsid w:val="00EE33D2"/>
    <w:rsid w:val="00F0754B"/>
    <w:rsid w:val="00F463E2"/>
    <w:rsid w:val="00F55F20"/>
    <w:rsid w:val="00F757D3"/>
    <w:rsid w:val="00F81B4F"/>
    <w:rsid w:val="00F84020"/>
    <w:rsid w:val="00F86AB9"/>
    <w:rsid w:val="00F86B3B"/>
    <w:rsid w:val="00F94B4A"/>
    <w:rsid w:val="00F94B69"/>
    <w:rsid w:val="00F94E58"/>
    <w:rsid w:val="00F95474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F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765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65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656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65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65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rioja@topc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rpComm@topcon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.topcon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opconposition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pconpositioning.com/agricultur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3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www.instagram.com/topcontoda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44F726-E049-4452-AAEF-8973DAB6E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3336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mastop</cp:lastModifiedBy>
  <cp:revision>4</cp:revision>
  <cp:lastPrinted>2015-08-13T12:52:00Z</cp:lastPrinted>
  <dcterms:created xsi:type="dcterms:W3CDTF">2016-09-08T07:27:00Z</dcterms:created>
  <dcterms:modified xsi:type="dcterms:W3CDTF">2016-09-08T08:28:00Z</dcterms:modified>
</cp:coreProperties>
</file>